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A7CF8" w14:textId="77777777" w:rsidR="0015761A" w:rsidRPr="0015761A" w:rsidRDefault="00913ACF" w:rsidP="0015761A">
      <w:pPr>
        <w:pStyle w:val="Default"/>
        <w:rPr>
          <w:b/>
          <w:bCs/>
          <w:color w:val="auto"/>
          <w:sz w:val="52"/>
          <w:szCs w:val="52"/>
        </w:rPr>
      </w:pPr>
      <w:r>
        <w:rPr>
          <w:b/>
          <w:bCs/>
          <w:noProof/>
          <w:color w:val="auto"/>
          <w:sz w:val="52"/>
          <w:szCs w:val="52"/>
          <w:lang w:eastAsia="de-DE"/>
        </w:rPr>
        <mc:AlternateContent>
          <mc:Choice Requires="wps">
            <w:drawing>
              <wp:anchor distT="0" distB="0" distL="114300" distR="114300" simplePos="0" relativeHeight="251659264" behindDoc="0" locked="0" layoutInCell="1" allowOverlap="1" wp14:anchorId="54BDD72D" wp14:editId="11F4AE78">
                <wp:simplePos x="0" y="0"/>
                <wp:positionH relativeFrom="column">
                  <wp:posOffset>4043775</wp:posOffset>
                </wp:positionH>
                <wp:positionV relativeFrom="paragraph">
                  <wp:posOffset>-31750</wp:posOffset>
                </wp:positionV>
                <wp:extent cx="2287905" cy="1706245"/>
                <wp:effectExtent l="0" t="0" r="0" b="762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1706245"/>
                        </a:xfrm>
                        <a:prstGeom prst="rect">
                          <a:avLst/>
                        </a:prstGeom>
                        <a:solidFill>
                          <a:srgbClr val="FFFFFF"/>
                        </a:solidFill>
                        <a:ln w="9525">
                          <a:noFill/>
                          <a:miter lim="800000"/>
                          <a:headEnd/>
                          <a:tailEnd/>
                        </a:ln>
                      </wps:spPr>
                      <wps:txbx>
                        <w:txbxContent>
                          <w:p w14:paraId="79AED234" w14:textId="77777777" w:rsidR="0015761A" w:rsidRDefault="00B82CBC">
                            <w:r>
                              <w:rPr>
                                <w:noProof/>
                                <w:lang w:eastAsia="de-DE"/>
                              </w:rPr>
                              <w:drawing>
                                <wp:inline distT="0" distB="0" distL="0" distR="0" wp14:anchorId="5B8A1E19" wp14:editId="5CB17AE0">
                                  <wp:extent cx="2073600" cy="1378460"/>
                                  <wp:effectExtent l="0" t="0" r="3175" b="0"/>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7"/>
                                          <a:stretch>
                                            <a:fillRect/>
                                          </a:stretch>
                                        </pic:blipFill>
                                        <pic:spPr>
                                          <a:xfrm>
                                            <a:off x="0" y="0"/>
                                            <a:ext cx="2073600" cy="137846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BDD72D" id="_x0000_t202" coordsize="21600,21600" o:spt="202" path="m,l,21600r21600,l21600,xe">
                <v:stroke joinstyle="miter"/>
                <v:path gradientshapeok="t" o:connecttype="rect"/>
              </v:shapetype>
              <v:shape id="Textfeld 2" o:spid="_x0000_s1026" type="#_x0000_t202" style="position:absolute;margin-left:318.4pt;margin-top:-2.5pt;width:180.15pt;height:134.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" stroked="f">
                <v:textbox style="mso-fit-shape-to-text:t">
                  <w:txbxContent>
                    <w:p w14:paraId="79AED234" w14:textId="77777777" w:rsidR="0015761A" w:rsidRDefault="00B82CBC">
                      <w:r>
                        <w:rPr>
                          <w:noProof/>
                          <w:lang w:eastAsia="de-DE"/>
                        </w:rPr>
                        <w:drawing>
                          <wp:inline distT="0" distB="0" distL="0" distR="0" wp14:anchorId="5B8A1E19" wp14:editId="5CB17AE0">
                            <wp:extent cx="2073600" cy="1378460"/>
                            <wp:effectExtent l="0" t="0" r="3175" b="0"/>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8"/>
                                    <a:stretch>
                                      <a:fillRect/>
                                    </a:stretch>
                                  </pic:blipFill>
                                  <pic:spPr>
                                    <a:xfrm>
                                      <a:off x="0" y="0"/>
                                      <a:ext cx="2073600" cy="1378460"/>
                                    </a:xfrm>
                                    <a:prstGeom prst="rect">
                                      <a:avLst/>
                                    </a:prstGeom>
                                  </pic:spPr>
                                </pic:pic>
                              </a:graphicData>
                            </a:graphic>
                          </wp:inline>
                        </w:drawing>
                      </w:r>
                    </w:p>
                  </w:txbxContent>
                </v:textbox>
              </v:shape>
            </w:pict>
          </mc:Fallback>
        </mc:AlternateContent>
      </w:r>
      <w:r w:rsidR="0015761A" w:rsidRPr="0015761A">
        <w:rPr>
          <w:b/>
          <w:bCs/>
          <w:color w:val="auto"/>
          <w:sz w:val="52"/>
          <w:szCs w:val="52"/>
        </w:rPr>
        <w:t>Turnierausschreibung</w:t>
      </w:r>
    </w:p>
    <w:p w14:paraId="5AC9048B" w14:textId="77777777" w:rsidR="0015761A" w:rsidRDefault="0015761A" w:rsidP="0015761A">
      <w:pPr>
        <w:pStyle w:val="Default"/>
        <w:rPr>
          <w:b/>
          <w:bCs/>
          <w:color w:val="auto"/>
          <w:sz w:val="40"/>
          <w:szCs w:val="40"/>
        </w:rPr>
      </w:pPr>
      <w:r>
        <w:rPr>
          <w:b/>
          <w:bCs/>
          <w:color w:val="auto"/>
          <w:sz w:val="40"/>
          <w:szCs w:val="40"/>
        </w:rPr>
        <w:t>für die Internen</w:t>
      </w:r>
    </w:p>
    <w:p w14:paraId="6CC02927" w14:textId="6B898E93" w:rsidR="0015761A" w:rsidRDefault="002B34FF" w:rsidP="0015761A">
      <w:pPr>
        <w:pStyle w:val="Default"/>
      </w:pPr>
      <w:r>
        <w:rPr>
          <w:b/>
          <w:bCs/>
          <w:color w:val="auto"/>
          <w:sz w:val="40"/>
          <w:szCs w:val="40"/>
        </w:rPr>
        <w:t>Golfturniere 202</w:t>
      </w:r>
      <w:r w:rsidR="005608AA">
        <w:rPr>
          <w:b/>
          <w:bCs/>
          <w:color w:val="auto"/>
          <w:sz w:val="40"/>
          <w:szCs w:val="40"/>
        </w:rPr>
        <w:t>5</w:t>
      </w:r>
    </w:p>
    <w:p w14:paraId="22F7A326" w14:textId="77777777" w:rsidR="0015761A" w:rsidRDefault="0015761A" w:rsidP="0015761A">
      <w:pPr>
        <w:pStyle w:val="Default"/>
      </w:pPr>
      <w:r>
        <w:t xml:space="preserve"> </w:t>
      </w:r>
    </w:p>
    <w:p w14:paraId="113AA487" w14:textId="77777777" w:rsidR="0015761A" w:rsidRDefault="0015761A" w:rsidP="0015761A">
      <w:pPr>
        <w:pStyle w:val="Default"/>
      </w:pPr>
    </w:p>
    <w:p w14:paraId="11C6799B" w14:textId="77777777" w:rsidR="0015761A" w:rsidRDefault="0015761A" w:rsidP="0015761A">
      <w:pPr>
        <w:pStyle w:val="Default"/>
      </w:pPr>
    </w:p>
    <w:p w14:paraId="0633E962" w14:textId="77777777" w:rsidR="0015761A" w:rsidRDefault="0015761A" w:rsidP="0015761A">
      <w:pPr>
        <w:pStyle w:val="Default"/>
      </w:pPr>
    </w:p>
    <w:p w14:paraId="108CFF50" w14:textId="77777777" w:rsidR="0015761A" w:rsidRDefault="0015761A" w:rsidP="0015761A">
      <w:pPr>
        <w:pStyle w:val="Default"/>
      </w:pPr>
    </w:p>
    <w:p w14:paraId="0C2B6812" w14:textId="77777777" w:rsidR="0015761A" w:rsidRDefault="0015761A" w:rsidP="0015761A">
      <w:pPr>
        <w:pStyle w:val="Default"/>
        <w:rPr>
          <w:color w:val="auto"/>
        </w:rPr>
      </w:pPr>
    </w:p>
    <w:tbl>
      <w:tblPr>
        <w:tblW w:w="9782" w:type="dxa"/>
        <w:tblBorders>
          <w:top w:val="nil"/>
          <w:left w:val="nil"/>
          <w:bottom w:val="nil"/>
          <w:right w:val="nil"/>
        </w:tblBorders>
        <w:tblLayout w:type="fixed"/>
        <w:tblLook w:val="0000" w:firstRow="0" w:lastRow="0" w:firstColumn="0" w:lastColumn="0" w:noHBand="0" w:noVBand="0"/>
      </w:tblPr>
      <w:tblGrid>
        <w:gridCol w:w="3510"/>
        <w:gridCol w:w="6272"/>
      </w:tblGrid>
      <w:tr w:rsidR="0015761A" w14:paraId="46B584EE" w14:textId="77777777" w:rsidTr="0015761A">
        <w:trPr>
          <w:trHeight w:val="94"/>
        </w:trPr>
        <w:tc>
          <w:tcPr>
            <w:tcW w:w="3510" w:type="dxa"/>
          </w:tcPr>
          <w:p w14:paraId="7844435E" w14:textId="77777777" w:rsidR="0015761A" w:rsidRDefault="0015761A" w:rsidP="0015761A">
            <w:pPr>
              <w:pStyle w:val="Default"/>
              <w:rPr>
                <w:sz w:val="20"/>
                <w:szCs w:val="20"/>
              </w:rPr>
            </w:pPr>
            <w:r>
              <w:rPr>
                <w:b/>
                <w:bCs/>
                <w:sz w:val="20"/>
                <w:szCs w:val="20"/>
              </w:rPr>
              <w:t xml:space="preserve">Ort: </w:t>
            </w:r>
          </w:p>
        </w:tc>
        <w:tc>
          <w:tcPr>
            <w:tcW w:w="6272" w:type="dxa"/>
          </w:tcPr>
          <w:p w14:paraId="6DD95C44" w14:textId="77777777" w:rsidR="0015761A" w:rsidRDefault="0015761A">
            <w:pPr>
              <w:pStyle w:val="Default"/>
              <w:rPr>
                <w:sz w:val="20"/>
                <w:szCs w:val="20"/>
              </w:rPr>
            </w:pPr>
            <w:r>
              <w:rPr>
                <w:sz w:val="20"/>
                <w:szCs w:val="20"/>
              </w:rPr>
              <w:t>(s. Turnierkalender</w:t>
            </w:r>
            <w:r w:rsidR="004645DC">
              <w:rPr>
                <w:sz w:val="20"/>
                <w:szCs w:val="20"/>
              </w:rPr>
              <w:t xml:space="preserve"> unserer BSG</w:t>
            </w:r>
            <w:r>
              <w:rPr>
                <w:sz w:val="20"/>
                <w:szCs w:val="20"/>
              </w:rPr>
              <w:t xml:space="preserve">) </w:t>
            </w:r>
          </w:p>
        </w:tc>
      </w:tr>
      <w:tr w:rsidR="0015761A" w14:paraId="77F9DA3A" w14:textId="77777777" w:rsidTr="0015761A">
        <w:trPr>
          <w:trHeight w:val="325"/>
        </w:trPr>
        <w:tc>
          <w:tcPr>
            <w:tcW w:w="3510" w:type="dxa"/>
          </w:tcPr>
          <w:p w14:paraId="3CB96B6A" w14:textId="77777777" w:rsidR="0015761A" w:rsidRDefault="0015761A">
            <w:pPr>
              <w:pStyle w:val="Default"/>
              <w:rPr>
                <w:sz w:val="20"/>
                <w:szCs w:val="20"/>
              </w:rPr>
            </w:pPr>
            <w:r>
              <w:rPr>
                <w:b/>
                <w:bCs/>
                <w:sz w:val="20"/>
                <w:szCs w:val="20"/>
              </w:rPr>
              <w:t xml:space="preserve">Termin: </w:t>
            </w:r>
          </w:p>
        </w:tc>
        <w:tc>
          <w:tcPr>
            <w:tcW w:w="6272" w:type="dxa"/>
          </w:tcPr>
          <w:p w14:paraId="305A89E4" w14:textId="0CC53F06" w:rsidR="0015761A" w:rsidRDefault="0015761A">
            <w:pPr>
              <w:pStyle w:val="Default"/>
              <w:rPr>
                <w:sz w:val="20"/>
                <w:szCs w:val="20"/>
              </w:rPr>
            </w:pPr>
            <w:r>
              <w:rPr>
                <w:sz w:val="20"/>
                <w:szCs w:val="20"/>
              </w:rPr>
              <w:t>(s. Turnierkalender</w:t>
            </w:r>
            <w:r w:rsidR="004645DC">
              <w:rPr>
                <w:sz w:val="20"/>
                <w:szCs w:val="20"/>
              </w:rPr>
              <w:t xml:space="preserve"> unsere BSG</w:t>
            </w:r>
            <w:r>
              <w:rPr>
                <w:sz w:val="20"/>
                <w:szCs w:val="20"/>
              </w:rPr>
              <w:t>) Die Flight</w:t>
            </w:r>
            <w:r w:rsidR="00DA230F">
              <w:rPr>
                <w:sz w:val="20"/>
                <w:szCs w:val="20"/>
              </w:rPr>
              <w:t>-E</w:t>
            </w:r>
            <w:r>
              <w:rPr>
                <w:sz w:val="20"/>
                <w:szCs w:val="20"/>
              </w:rPr>
              <w:t xml:space="preserve">inteilung und die Startzeiten können </w:t>
            </w:r>
            <w:r w:rsidR="00CA1EB3">
              <w:rPr>
                <w:sz w:val="20"/>
                <w:szCs w:val="20"/>
              </w:rPr>
              <w:t xml:space="preserve">in der Regel </w:t>
            </w:r>
            <w:r>
              <w:rPr>
                <w:sz w:val="20"/>
                <w:szCs w:val="20"/>
              </w:rPr>
              <w:t xml:space="preserve">jeweils ab Donnerstag vor dem Turnier </w:t>
            </w:r>
            <w:r w:rsidR="005608AA">
              <w:rPr>
                <w:sz w:val="20"/>
                <w:szCs w:val="20"/>
              </w:rPr>
              <w:t>in der BSG</w:t>
            </w:r>
            <w:r w:rsidR="00B71B95">
              <w:rPr>
                <w:sz w:val="20"/>
                <w:szCs w:val="20"/>
              </w:rPr>
              <w:t xml:space="preserve"> Köln-</w:t>
            </w:r>
            <w:r w:rsidR="005608AA">
              <w:rPr>
                <w:sz w:val="20"/>
                <w:szCs w:val="20"/>
              </w:rPr>
              <w:t>App und parallel auf der</w:t>
            </w:r>
            <w:r>
              <w:rPr>
                <w:sz w:val="20"/>
                <w:szCs w:val="20"/>
              </w:rPr>
              <w:t xml:space="preserve"> Homepage www.golf-bsg</w:t>
            </w:r>
            <w:r w:rsidR="00FC3EE5">
              <w:rPr>
                <w:sz w:val="20"/>
                <w:szCs w:val="20"/>
              </w:rPr>
              <w:t>.k</w:t>
            </w:r>
            <w:r w:rsidR="008F067A">
              <w:rPr>
                <w:sz w:val="20"/>
                <w:szCs w:val="20"/>
              </w:rPr>
              <w:t>oeln abgefragt werden.</w:t>
            </w:r>
          </w:p>
          <w:p w14:paraId="1C68B524" w14:textId="77777777" w:rsidR="004645DC" w:rsidRDefault="004645DC">
            <w:pPr>
              <w:pStyle w:val="Default"/>
              <w:rPr>
                <w:sz w:val="20"/>
                <w:szCs w:val="20"/>
              </w:rPr>
            </w:pPr>
          </w:p>
        </w:tc>
      </w:tr>
      <w:tr w:rsidR="0015761A" w14:paraId="0C8509FE" w14:textId="77777777" w:rsidTr="0015761A">
        <w:trPr>
          <w:trHeight w:val="209"/>
        </w:trPr>
        <w:tc>
          <w:tcPr>
            <w:tcW w:w="3510" w:type="dxa"/>
          </w:tcPr>
          <w:p w14:paraId="4735CD18" w14:textId="77777777" w:rsidR="0015761A" w:rsidRDefault="0015761A">
            <w:pPr>
              <w:pStyle w:val="Default"/>
              <w:rPr>
                <w:sz w:val="20"/>
                <w:szCs w:val="20"/>
              </w:rPr>
            </w:pPr>
            <w:r>
              <w:rPr>
                <w:b/>
                <w:bCs/>
                <w:sz w:val="20"/>
                <w:szCs w:val="20"/>
              </w:rPr>
              <w:t xml:space="preserve">Wettspiel: </w:t>
            </w:r>
          </w:p>
        </w:tc>
        <w:tc>
          <w:tcPr>
            <w:tcW w:w="6272" w:type="dxa"/>
          </w:tcPr>
          <w:p w14:paraId="7609EC74" w14:textId="14BA977A" w:rsidR="0015761A" w:rsidRDefault="0015761A" w:rsidP="004645DC">
            <w:pPr>
              <w:pStyle w:val="Default"/>
              <w:rPr>
                <w:sz w:val="20"/>
                <w:szCs w:val="20"/>
              </w:rPr>
            </w:pPr>
            <w:r>
              <w:rPr>
                <w:sz w:val="20"/>
                <w:szCs w:val="20"/>
              </w:rPr>
              <w:t xml:space="preserve">Einzel-Zählspiel nach </w:t>
            </w:r>
            <w:proofErr w:type="spellStart"/>
            <w:r>
              <w:rPr>
                <w:sz w:val="20"/>
                <w:szCs w:val="20"/>
              </w:rPr>
              <w:t>Stableford</w:t>
            </w:r>
            <w:proofErr w:type="spellEnd"/>
            <w:r>
              <w:rPr>
                <w:sz w:val="20"/>
                <w:szCs w:val="20"/>
              </w:rPr>
              <w:t xml:space="preserve"> über 18 Löcher. Die Turniere sind </w:t>
            </w:r>
            <w:r w:rsidR="00CA1EB3">
              <w:rPr>
                <w:sz w:val="20"/>
                <w:szCs w:val="20"/>
              </w:rPr>
              <w:t xml:space="preserve">in der Regel </w:t>
            </w:r>
            <w:r>
              <w:rPr>
                <w:sz w:val="20"/>
                <w:szCs w:val="20"/>
              </w:rPr>
              <w:t xml:space="preserve">vorgabewirksam. </w:t>
            </w:r>
            <w:r w:rsidR="00F44001">
              <w:rPr>
                <w:sz w:val="20"/>
                <w:szCs w:val="20"/>
              </w:rPr>
              <w:t xml:space="preserve">Ausnahme hiervon sind </w:t>
            </w:r>
            <w:proofErr w:type="spellStart"/>
            <w:r w:rsidR="00F44001">
              <w:rPr>
                <w:sz w:val="20"/>
                <w:szCs w:val="20"/>
              </w:rPr>
              <w:t>Scrambles</w:t>
            </w:r>
            <w:proofErr w:type="spellEnd"/>
            <w:r w:rsidR="00F44001">
              <w:rPr>
                <w:sz w:val="20"/>
                <w:szCs w:val="20"/>
              </w:rPr>
              <w:t xml:space="preserve"> oder sonstige Formate. </w:t>
            </w:r>
          </w:p>
          <w:p w14:paraId="75C11D11" w14:textId="77777777" w:rsidR="004645DC" w:rsidRDefault="004645DC" w:rsidP="004645DC">
            <w:pPr>
              <w:pStyle w:val="Default"/>
              <w:rPr>
                <w:sz w:val="20"/>
                <w:szCs w:val="20"/>
              </w:rPr>
            </w:pPr>
          </w:p>
        </w:tc>
      </w:tr>
      <w:tr w:rsidR="0015761A" w14:paraId="6D013A01" w14:textId="77777777" w:rsidTr="0015761A">
        <w:trPr>
          <w:trHeight w:val="325"/>
        </w:trPr>
        <w:tc>
          <w:tcPr>
            <w:tcW w:w="3510" w:type="dxa"/>
          </w:tcPr>
          <w:p w14:paraId="66DD0FA4" w14:textId="77777777" w:rsidR="0015761A" w:rsidRDefault="0015761A">
            <w:pPr>
              <w:pStyle w:val="Default"/>
              <w:rPr>
                <w:sz w:val="20"/>
                <w:szCs w:val="20"/>
              </w:rPr>
            </w:pPr>
            <w:r>
              <w:rPr>
                <w:b/>
                <w:bCs/>
                <w:sz w:val="20"/>
                <w:szCs w:val="20"/>
              </w:rPr>
              <w:t xml:space="preserve">Spielregeln: </w:t>
            </w:r>
          </w:p>
        </w:tc>
        <w:tc>
          <w:tcPr>
            <w:tcW w:w="6272" w:type="dxa"/>
          </w:tcPr>
          <w:p w14:paraId="49ADF386" w14:textId="77777777" w:rsidR="0015761A" w:rsidRDefault="0015761A">
            <w:pPr>
              <w:pStyle w:val="Default"/>
              <w:rPr>
                <w:sz w:val="20"/>
                <w:szCs w:val="20"/>
              </w:rPr>
            </w:pPr>
            <w:r>
              <w:rPr>
                <w:sz w:val="20"/>
                <w:szCs w:val="20"/>
              </w:rPr>
              <w:t>Gespielt wird nach den offiziellen Golfregeln des DGV und den Platzregeln des jeweiligen Golfclubs. Einsicht in die Verbandsordnung und die Platzregeln ist am Turniertag im Sekretariat möglich.</w:t>
            </w:r>
          </w:p>
          <w:p w14:paraId="31643991" w14:textId="77777777" w:rsidR="004645DC" w:rsidRDefault="004645DC">
            <w:pPr>
              <w:pStyle w:val="Default"/>
              <w:rPr>
                <w:sz w:val="20"/>
                <w:szCs w:val="20"/>
              </w:rPr>
            </w:pPr>
          </w:p>
        </w:tc>
      </w:tr>
      <w:tr w:rsidR="0015761A" w14:paraId="07ADB3FA" w14:textId="77777777" w:rsidTr="0015761A">
        <w:trPr>
          <w:trHeight w:val="209"/>
        </w:trPr>
        <w:tc>
          <w:tcPr>
            <w:tcW w:w="3510" w:type="dxa"/>
          </w:tcPr>
          <w:p w14:paraId="631B1965" w14:textId="77777777" w:rsidR="0015761A" w:rsidRDefault="0015761A">
            <w:pPr>
              <w:pStyle w:val="Default"/>
              <w:rPr>
                <w:sz w:val="20"/>
                <w:szCs w:val="20"/>
              </w:rPr>
            </w:pPr>
            <w:r>
              <w:rPr>
                <w:b/>
                <w:bCs/>
                <w:sz w:val="20"/>
                <w:szCs w:val="20"/>
              </w:rPr>
              <w:t xml:space="preserve">Teilnahmeberechtigt: </w:t>
            </w:r>
          </w:p>
        </w:tc>
        <w:tc>
          <w:tcPr>
            <w:tcW w:w="6272" w:type="dxa"/>
          </w:tcPr>
          <w:p w14:paraId="21AA1A39" w14:textId="559C9966" w:rsidR="0015761A" w:rsidRDefault="0015761A" w:rsidP="004645DC">
            <w:pPr>
              <w:pStyle w:val="Default"/>
              <w:rPr>
                <w:sz w:val="20"/>
                <w:szCs w:val="20"/>
              </w:rPr>
            </w:pPr>
            <w:r>
              <w:rPr>
                <w:sz w:val="20"/>
                <w:szCs w:val="20"/>
              </w:rPr>
              <w:t>Spieler/-innen der BSG Sta</w:t>
            </w:r>
            <w:r w:rsidR="004645DC">
              <w:rPr>
                <w:sz w:val="20"/>
                <w:szCs w:val="20"/>
              </w:rPr>
              <w:t>dt Köln</w:t>
            </w:r>
            <w:r w:rsidR="005608AA">
              <w:rPr>
                <w:sz w:val="20"/>
                <w:szCs w:val="20"/>
              </w:rPr>
              <w:t xml:space="preserve"> Sparte Golf</w:t>
            </w:r>
            <w:r w:rsidR="004645DC">
              <w:rPr>
                <w:sz w:val="20"/>
                <w:szCs w:val="20"/>
              </w:rPr>
              <w:t xml:space="preserve"> mit mindestens HCP -54. D</w:t>
            </w:r>
            <w:r>
              <w:rPr>
                <w:sz w:val="20"/>
                <w:szCs w:val="20"/>
              </w:rPr>
              <w:t>ie am Turniertag aktuelle Stammvorgabe wird bei der Teilnahme zugrunde gelegt.</w:t>
            </w:r>
          </w:p>
          <w:p w14:paraId="15BCD114" w14:textId="77777777" w:rsidR="002D6E8A" w:rsidRDefault="002D6E8A" w:rsidP="004645DC">
            <w:pPr>
              <w:pStyle w:val="Default"/>
              <w:rPr>
                <w:sz w:val="20"/>
                <w:szCs w:val="20"/>
              </w:rPr>
            </w:pPr>
          </w:p>
        </w:tc>
      </w:tr>
      <w:tr w:rsidR="0015761A" w14:paraId="64BC5071" w14:textId="77777777" w:rsidTr="0015761A">
        <w:trPr>
          <w:trHeight w:val="209"/>
        </w:trPr>
        <w:tc>
          <w:tcPr>
            <w:tcW w:w="3510" w:type="dxa"/>
          </w:tcPr>
          <w:p w14:paraId="2DDE2AC7" w14:textId="77777777" w:rsidR="0015761A" w:rsidRDefault="0015761A">
            <w:pPr>
              <w:pStyle w:val="Default"/>
              <w:rPr>
                <w:sz w:val="20"/>
                <w:szCs w:val="20"/>
              </w:rPr>
            </w:pPr>
            <w:r>
              <w:rPr>
                <w:b/>
                <w:bCs/>
                <w:sz w:val="20"/>
                <w:szCs w:val="20"/>
              </w:rPr>
              <w:t xml:space="preserve">Klasseneinteilung: </w:t>
            </w:r>
          </w:p>
        </w:tc>
        <w:tc>
          <w:tcPr>
            <w:tcW w:w="6272" w:type="dxa"/>
          </w:tcPr>
          <w:p w14:paraId="3F1BED88" w14:textId="01FE52C9" w:rsidR="0015761A" w:rsidRDefault="009A0BCC" w:rsidP="002D6E8A">
            <w:pPr>
              <w:pStyle w:val="Default"/>
              <w:rPr>
                <w:sz w:val="20"/>
                <w:szCs w:val="20"/>
              </w:rPr>
            </w:pPr>
            <w:r>
              <w:rPr>
                <w:sz w:val="20"/>
                <w:szCs w:val="20"/>
              </w:rPr>
              <w:t>Die Vorgabenklassen w</w:t>
            </w:r>
            <w:r w:rsidR="002D6E8A">
              <w:rPr>
                <w:sz w:val="20"/>
                <w:szCs w:val="20"/>
              </w:rPr>
              <w:t>erden je nach Meldungen</w:t>
            </w:r>
            <w:r w:rsidR="0015761A">
              <w:rPr>
                <w:sz w:val="20"/>
                <w:szCs w:val="20"/>
              </w:rPr>
              <w:t xml:space="preserve"> eingeteilt. Bei weniger als 20 Meldungen wird nur in einer </w:t>
            </w:r>
            <w:proofErr w:type="spellStart"/>
            <w:r w:rsidR="0015761A">
              <w:rPr>
                <w:sz w:val="20"/>
                <w:szCs w:val="20"/>
              </w:rPr>
              <w:t>Hcp</w:t>
            </w:r>
            <w:proofErr w:type="spellEnd"/>
            <w:r w:rsidR="0015761A">
              <w:rPr>
                <w:sz w:val="20"/>
                <w:szCs w:val="20"/>
              </w:rPr>
              <w:t>.-Klasse gestartet.</w:t>
            </w:r>
          </w:p>
          <w:p w14:paraId="2D74610F" w14:textId="77777777" w:rsidR="002D6E8A" w:rsidRDefault="002D6E8A" w:rsidP="002D6E8A">
            <w:pPr>
              <w:pStyle w:val="Default"/>
              <w:rPr>
                <w:sz w:val="20"/>
                <w:szCs w:val="20"/>
              </w:rPr>
            </w:pPr>
          </w:p>
        </w:tc>
      </w:tr>
      <w:tr w:rsidR="0015761A" w14:paraId="7E0CE854" w14:textId="77777777" w:rsidTr="0015761A">
        <w:trPr>
          <w:trHeight w:val="440"/>
        </w:trPr>
        <w:tc>
          <w:tcPr>
            <w:tcW w:w="3510" w:type="dxa"/>
          </w:tcPr>
          <w:p w14:paraId="2766F0A5" w14:textId="77777777" w:rsidR="0015761A" w:rsidRDefault="0015761A">
            <w:pPr>
              <w:pStyle w:val="Default"/>
              <w:rPr>
                <w:sz w:val="20"/>
                <w:szCs w:val="20"/>
              </w:rPr>
            </w:pPr>
            <w:r>
              <w:rPr>
                <w:b/>
                <w:bCs/>
                <w:sz w:val="20"/>
                <w:szCs w:val="20"/>
              </w:rPr>
              <w:t xml:space="preserve">Startgeld: </w:t>
            </w:r>
          </w:p>
        </w:tc>
        <w:tc>
          <w:tcPr>
            <w:tcW w:w="6272" w:type="dxa"/>
          </w:tcPr>
          <w:p w14:paraId="332AAB81" w14:textId="557296CF" w:rsidR="0015761A" w:rsidRDefault="0015761A">
            <w:pPr>
              <w:pStyle w:val="Default"/>
              <w:rPr>
                <w:sz w:val="20"/>
                <w:szCs w:val="20"/>
              </w:rPr>
            </w:pPr>
            <w:r>
              <w:rPr>
                <w:sz w:val="20"/>
                <w:szCs w:val="20"/>
              </w:rPr>
              <w:t xml:space="preserve">Das Startgeld </w:t>
            </w:r>
            <w:r w:rsidR="005608AA">
              <w:rPr>
                <w:sz w:val="20"/>
                <w:szCs w:val="20"/>
              </w:rPr>
              <w:t xml:space="preserve">ist unterschiedlich je Turnier und wird bei der Anmeldung in der </w:t>
            </w:r>
            <w:r w:rsidR="00B71B95">
              <w:rPr>
                <w:sz w:val="20"/>
                <w:szCs w:val="20"/>
              </w:rPr>
              <w:t>BSG Köln-App</w:t>
            </w:r>
            <w:r w:rsidR="00B71B95">
              <w:rPr>
                <w:sz w:val="20"/>
                <w:szCs w:val="20"/>
              </w:rPr>
              <w:t xml:space="preserve"> </w:t>
            </w:r>
            <w:r w:rsidR="005608AA">
              <w:rPr>
                <w:sz w:val="20"/>
                <w:szCs w:val="20"/>
              </w:rPr>
              <w:t>aufgelistet</w:t>
            </w:r>
            <w:r>
              <w:rPr>
                <w:sz w:val="20"/>
                <w:szCs w:val="20"/>
              </w:rPr>
              <w:t xml:space="preserve"> und beinh</w:t>
            </w:r>
            <w:r w:rsidR="00867DCA">
              <w:rPr>
                <w:sz w:val="20"/>
                <w:szCs w:val="20"/>
              </w:rPr>
              <w:t xml:space="preserve">altet das Greenfee und </w:t>
            </w:r>
            <w:r w:rsidR="002D6E8A">
              <w:rPr>
                <w:sz w:val="20"/>
                <w:szCs w:val="20"/>
              </w:rPr>
              <w:t>die Turnier</w:t>
            </w:r>
            <w:r>
              <w:rPr>
                <w:sz w:val="20"/>
                <w:szCs w:val="20"/>
              </w:rPr>
              <w:t>gebühr</w:t>
            </w:r>
            <w:r w:rsidR="00867DCA">
              <w:rPr>
                <w:sz w:val="20"/>
                <w:szCs w:val="20"/>
              </w:rPr>
              <w:t xml:space="preserve"> (Turnierauswertung und Gebühr für Preise).</w:t>
            </w:r>
            <w:r>
              <w:rPr>
                <w:sz w:val="20"/>
                <w:szCs w:val="20"/>
              </w:rPr>
              <w:t xml:space="preserve"> Für die Mitglieder des jeweiligen Golfclubs reduziert sich das Startgeld um den </w:t>
            </w:r>
            <w:proofErr w:type="spellStart"/>
            <w:r>
              <w:rPr>
                <w:sz w:val="20"/>
                <w:szCs w:val="20"/>
              </w:rPr>
              <w:t>Greenfeeanteil</w:t>
            </w:r>
            <w:proofErr w:type="spellEnd"/>
            <w:r>
              <w:rPr>
                <w:sz w:val="20"/>
                <w:szCs w:val="20"/>
              </w:rPr>
              <w:t>. Das Startgeld wird nach dem Turnier durch die BSG-Geschäftsstelle abgebucht.</w:t>
            </w:r>
          </w:p>
          <w:p w14:paraId="07024B3C" w14:textId="77777777" w:rsidR="002D6E8A" w:rsidRDefault="002D6E8A">
            <w:pPr>
              <w:pStyle w:val="Default"/>
              <w:rPr>
                <w:sz w:val="20"/>
                <w:szCs w:val="20"/>
              </w:rPr>
            </w:pPr>
          </w:p>
        </w:tc>
      </w:tr>
      <w:tr w:rsidR="0015761A" w14:paraId="3AB774BC" w14:textId="77777777" w:rsidTr="0015761A">
        <w:trPr>
          <w:trHeight w:val="325"/>
        </w:trPr>
        <w:tc>
          <w:tcPr>
            <w:tcW w:w="3510" w:type="dxa"/>
          </w:tcPr>
          <w:p w14:paraId="5039CCCF" w14:textId="77777777" w:rsidR="0015761A" w:rsidRDefault="0015761A">
            <w:pPr>
              <w:pStyle w:val="Default"/>
              <w:rPr>
                <w:sz w:val="20"/>
                <w:szCs w:val="20"/>
              </w:rPr>
            </w:pPr>
            <w:r>
              <w:rPr>
                <w:b/>
                <w:bCs/>
                <w:sz w:val="20"/>
                <w:szCs w:val="20"/>
              </w:rPr>
              <w:t xml:space="preserve">Besonderheiten: </w:t>
            </w:r>
          </w:p>
        </w:tc>
        <w:tc>
          <w:tcPr>
            <w:tcW w:w="6272" w:type="dxa"/>
          </w:tcPr>
          <w:p w14:paraId="5473096C" w14:textId="77777777" w:rsidR="0015761A" w:rsidRDefault="0015761A">
            <w:pPr>
              <w:pStyle w:val="Default"/>
              <w:rPr>
                <w:sz w:val="20"/>
                <w:szCs w:val="20"/>
              </w:rPr>
            </w:pPr>
            <w:r>
              <w:rPr>
                <w:sz w:val="20"/>
                <w:szCs w:val="20"/>
              </w:rPr>
              <w:t xml:space="preserve">Entfernungsmesser sind zugelassen, wenn die jeweilige Platzregel entsprechende Geräte erlaubt. Die Benutzung von </w:t>
            </w:r>
            <w:proofErr w:type="spellStart"/>
            <w:r>
              <w:rPr>
                <w:sz w:val="20"/>
                <w:szCs w:val="20"/>
              </w:rPr>
              <w:t>Golfcarts</w:t>
            </w:r>
            <w:proofErr w:type="spellEnd"/>
            <w:r>
              <w:rPr>
                <w:sz w:val="20"/>
                <w:szCs w:val="20"/>
              </w:rPr>
              <w:t xml:space="preserve"> ist nach vorheriger Abstimmung mit der Spielleitung erlaubt.</w:t>
            </w:r>
          </w:p>
          <w:p w14:paraId="5C3D6779" w14:textId="77777777" w:rsidR="002D6E8A" w:rsidRDefault="002D6E8A">
            <w:pPr>
              <w:pStyle w:val="Default"/>
              <w:rPr>
                <w:sz w:val="20"/>
                <w:szCs w:val="20"/>
              </w:rPr>
            </w:pPr>
          </w:p>
        </w:tc>
      </w:tr>
      <w:tr w:rsidR="0015761A" w14:paraId="41D5D152" w14:textId="77777777" w:rsidTr="0015761A">
        <w:trPr>
          <w:trHeight w:val="898"/>
        </w:trPr>
        <w:tc>
          <w:tcPr>
            <w:tcW w:w="3510" w:type="dxa"/>
          </w:tcPr>
          <w:p w14:paraId="2B0619BA" w14:textId="77777777" w:rsidR="0015761A" w:rsidRDefault="002D6E8A">
            <w:pPr>
              <w:pStyle w:val="Default"/>
              <w:rPr>
                <w:sz w:val="20"/>
                <w:szCs w:val="20"/>
              </w:rPr>
            </w:pPr>
            <w:r>
              <w:rPr>
                <w:rFonts w:cs="Times New Roman"/>
                <w:color w:val="auto"/>
                <w:sz w:val="22"/>
                <w:szCs w:val="22"/>
              </w:rPr>
              <w:br w:type="page"/>
            </w:r>
            <w:r w:rsidR="0015761A">
              <w:rPr>
                <w:b/>
                <w:bCs/>
                <w:sz w:val="20"/>
                <w:szCs w:val="20"/>
              </w:rPr>
              <w:t xml:space="preserve">Preise: </w:t>
            </w:r>
          </w:p>
        </w:tc>
        <w:tc>
          <w:tcPr>
            <w:tcW w:w="6272" w:type="dxa"/>
          </w:tcPr>
          <w:p w14:paraId="2415CEB6" w14:textId="77777777" w:rsidR="0015761A" w:rsidRDefault="0015761A">
            <w:pPr>
              <w:pStyle w:val="Default"/>
              <w:rPr>
                <w:sz w:val="20"/>
                <w:szCs w:val="20"/>
              </w:rPr>
            </w:pPr>
            <w:r>
              <w:rPr>
                <w:sz w:val="20"/>
                <w:szCs w:val="20"/>
              </w:rPr>
              <w:t xml:space="preserve">Mindestens 1. Gesamt-Brutto; mindestens 1. - 3. Netto je Klasse. Bei gleichen Ergebnissen wird bis zu einer Entscheidung nach den Regelungen des DGV gewertet. Im Netto erfolgt dies unter Vorgabenanrechnung. Ergibt sich hieraus keine Wertung entscheidet das Los. </w:t>
            </w:r>
          </w:p>
          <w:p w14:paraId="73A7E34C" w14:textId="77777777" w:rsidR="0015761A" w:rsidRDefault="0015761A">
            <w:pPr>
              <w:pStyle w:val="Default"/>
              <w:rPr>
                <w:sz w:val="20"/>
                <w:szCs w:val="20"/>
              </w:rPr>
            </w:pPr>
            <w:r>
              <w:rPr>
                <w:sz w:val="20"/>
                <w:szCs w:val="20"/>
              </w:rPr>
              <w:t xml:space="preserve">Jeder Teilnehmer kann nur einen Preis erhalten (Brutto vor Netto). </w:t>
            </w:r>
          </w:p>
          <w:p w14:paraId="0AC7C9E2" w14:textId="77777777" w:rsidR="002D6E8A" w:rsidRDefault="0015761A">
            <w:pPr>
              <w:pStyle w:val="Default"/>
              <w:rPr>
                <w:sz w:val="20"/>
                <w:szCs w:val="20"/>
              </w:rPr>
            </w:pPr>
            <w:r>
              <w:rPr>
                <w:sz w:val="20"/>
                <w:szCs w:val="20"/>
              </w:rPr>
              <w:t>Ist der Spieler bei der Siegerehrung nicht anwesend, geht der Sachpreis a</w:t>
            </w:r>
            <w:r w:rsidR="002D6E8A">
              <w:rPr>
                <w:sz w:val="20"/>
                <w:szCs w:val="20"/>
              </w:rPr>
              <w:t>n den Nächstplatzierten weiter.</w:t>
            </w:r>
          </w:p>
          <w:p w14:paraId="2D988C8A" w14:textId="77777777" w:rsidR="002D6E8A" w:rsidRDefault="002D6E8A">
            <w:pPr>
              <w:pStyle w:val="Default"/>
              <w:rPr>
                <w:sz w:val="20"/>
                <w:szCs w:val="20"/>
              </w:rPr>
            </w:pPr>
          </w:p>
          <w:p w14:paraId="50544EC4" w14:textId="7751A9B2" w:rsidR="004D003C" w:rsidRDefault="002D6E8A">
            <w:pPr>
              <w:pStyle w:val="Default"/>
              <w:rPr>
                <w:sz w:val="20"/>
                <w:szCs w:val="20"/>
              </w:rPr>
            </w:pPr>
            <w:r>
              <w:rPr>
                <w:sz w:val="20"/>
                <w:szCs w:val="20"/>
              </w:rPr>
              <w:t>I</w:t>
            </w:r>
            <w:r w:rsidR="0015761A">
              <w:rPr>
                <w:sz w:val="20"/>
                <w:szCs w:val="20"/>
              </w:rPr>
              <w:t>nterne Turniere nehmen</w:t>
            </w:r>
            <w:r w:rsidR="003109E5">
              <w:rPr>
                <w:sz w:val="20"/>
                <w:szCs w:val="20"/>
              </w:rPr>
              <w:t xml:space="preserve"> in der Regel</w:t>
            </w:r>
            <w:r w:rsidR="0015761A">
              <w:rPr>
                <w:sz w:val="20"/>
                <w:szCs w:val="20"/>
              </w:rPr>
              <w:t xml:space="preserve"> </w:t>
            </w:r>
            <w:r w:rsidR="004D003C">
              <w:rPr>
                <w:sz w:val="20"/>
                <w:szCs w:val="20"/>
              </w:rPr>
              <w:t>an der Jahresnettowertung teil</w:t>
            </w:r>
            <w:r w:rsidR="005608AA">
              <w:rPr>
                <w:sz w:val="20"/>
                <w:szCs w:val="20"/>
              </w:rPr>
              <w:t xml:space="preserve"> (s. Ausschreibung Netto-Jahrespreiswertung).</w:t>
            </w:r>
          </w:p>
          <w:p w14:paraId="4D5E9DBA" w14:textId="77777777" w:rsidR="004D003C" w:rsidRDefault="004D003C">
            <w:pPr>
              <w:pStyle w:val="Default"/>
              <w:rPr>
                <w:sz w:val="20"/>
                <w:szCs w:val="20"/>
              </w:rPr>
            </w:pPr>
          </w:p>
        </w:tc>
      </w:tr>
    </w:tbl>
    <w:p w14:paraId="42CC0E15" w14:textId="77777777" w:rsidR="002D6E8A" w:rsidRDefault="002D6E8A">
      <w:r>
        <w:br w:type="page"/>
      </w:r>
    </w:p>
    <w:tbl>
      <w:tblPr>
        <w:tblW w:w="9782" w:type="dxa"/>
        <w:tblBorders>
          <w:top w:val="nil"/>
          <w:left w:val="nil"/>
          <w:bottom w:val="nil"/>
          <w:right w:val="nil"/>
        </w:tblBorders>
        <w:tblLayout w:type="fixed"/>
        <w:tblLook w:val="0000" w:firstRow="0" w:lastRow="0" w:firstColumn="0" w:lastColumn="0" w:noHBand="0" w:noVBand="0"/>
      </w:tblPr>
      <w:tblGrid>
        <w:gridCol w:w="3510"/>
        <w:gridCol w:w="6272"/>
      </w:tblGrid>
      <w:tr w:rsidR="0015761A" w14:paraId="5EE20E98" w14:textId="77777777" w:rsidTr="0015761A">
        <w:trPr>
          <w:trHeight w:val="554"/>
        </w:trPr>
        <w:tc>
          <w:tcPr>
            <w:tcW w:w="3510" w:type="dxa"/>
          </w:tcPr>
          <w:p w14:paraId="2945068F" w14:textId="77777777" w:rsidR="0015761A" w:rsidRDefault="0015761A">
            <w:pPr>
              <w:pStyle w:val="Default"/>
              <w:rPr>
                <w:sz w:val="20"/>
                <w:szCs w:val="20"/>
              </w:rPr>
            </w:pPr>
            <w:r>
              <w:rPr>
                <w:b/>
                <w:bCs/>
                <w:sz w:val="20"/>
                <w:szCs w:val="20"/>
              </w:rPr>
              <w:lastRenderedPageBreak/>
              <w:t xml:space="preserve">Meldeschluss: </w:t>
            </w:r>
          </w:p>
        </w:tc>
        <w:tc>
          <w:tcPr>
            <w:tcW w:w="6272" w:type="dxa"/>
          </w:tcPr>
          <w:p w14:paraId="58196800" w14:textId="20DA1E65" w:rsidR="0015761A" w:rsidRDefault="0015761A">
            <w:pPr>
              <w:pStyle w:val="Default"/>
              <w:rPr>
                <w:sz w:val="20"/>
                <w:szCs w:val="20"/>
              </w:rPr>
            </w:pPr>
            <w:r>
              <w:rPr>
                <w:sz w:val="20"/>
                <w:szCs w:val="20"/>
              </w:rPr>
              <w:t>Die Meldu</w:t>
            </w:r>
            <w:r w:rsidR="007B0F65">
              <w:rPr>
                <w:sz w:val="20"/>
                <w:szCs w:val="20"/>
              </w:rPr>
              <w:t xml:space="preserve">ngen müssen spätestens </w:t>
            </w:r>
            <w:r w:rsidR="005608AA">
              <w:rPr>
                <w:sz w:val="20"/>
                <w:szCs w:val="20"/>
              </w:rPr>
              <w:t xml:space="preserve">zu dem in der </w:t>
            </w:r>
            <w:r w:rsidR="00B71B95">
              <w:rPr>
                <w:sz w:val="20"/>
                <w:szCs w:val="20"/>
              </w:rPr>
              <w:t>App</w:t>
            </w:r>
            <w:r w:rsidR="005608AA">
              <w:rPr>
                <w:sz w:val="20"/>
                <w:szCs w:val="20"/>
              </w:rPr>
              <w:t xml:space="preserve"> genannten jeweiligen Meldeschluss-Datum (inkl. Uhrzeit) </w:t>
            </w:r>
            <w:r>
              <w:rPr>
                <w:sz w:val="20"/>
                <w:szCs w:val="20"/>
              </w:rPr>
              <w:t xml:space="preserve">eingegangen sein (Annahme nach Reihenfolge des Eingangs). Gehen mehr als zugelassene Meldungen ein, wird eine Warteliste geführt. Die Stornierung einer Meldung kann eigenhändig über die </w:t>
            </w:r>
            <w:r w:rsidR="005608AA">
              <w:rPr>
                <w:sz w:val="20"/>
                <w:szCs w:val="20"/>
              </w:rPr>
              <w:t>App</w:t>
            </w:r>
            <w:r>
              <w:rPr>
                <w:sz w:val="20"/>
                <w:szCs w:val="20"/>
              </w:rPr>
              <w:t xml:space="preserve"> vorgenommen werden und ist ebenfalls grundsätzlich nur bis zu</w:t>
            </w:r>
            <w:r w:rsidR="005608AA">
              <w:rPr>
                <w:sz w:val="20"/>
                <w:szCs w:val="20"/>
              </w:rPr>
              <w:t>m genannten Abmeldeschluss</w:t>
            </w:r>
            <w:r>
              <w:rPr>
                <w:sz w:val="20"/>
                <w:szCs w:val="20"/>
              </w:rPr>
              <w:t xml:space="preserve"> (kostenfrei) möglich.</w:t>
            </w:r>
          </w:p>
          <w:p w14:paraId="61B7AFD9" w14:textId="77777777" w:rsidR="002D6E8A" w:rsidRDefault="002D6E8A">
            <w:pPr>
              <w:pStyle w:val="Default"/>
              <w:rPr>
                <w:sz w:val="20"/>
                <w:szCs w:val="20"/>
              </w:rPr>
            </w:pPr>
          </w:p>
        </w:tc>
      </w:tr>
      <w:tr w:rsidR="0015761A" w14:paraId="290B8C8E" w14:textId="77777777" w:rsidTr="0015761A">
        <w:trPr>
          <w:trHeight w:val="209"/>
        </w:trPr>
        <w:tc>
          <w:tcPr>
            <w:tcW w:w="3510" w:type="dxa"/>
          </w:tcPr>
          <w:p w14:paraId="2156B33D" w14:textId="77777777" w:rsidR="0015761A" w:rsidRDefault="0015761A">
            <w:pPr>
              <w:pStyle w:val="Default"/>
              <w:rPr>
                <w:sz w:val="20"/>
                <w:szCs w:val="20"/>
              </w:rPr>
            </w:pPr>
            <w:r>
              <w:rPr>
                <w:b/>
                <w:bCs/>
                <w:sz w:val="20"/>
                <w:szCs w:val="20"/>
              </w:rPr>
              <w:t xml:space="preserve">Form der Meldung: </w:t>
            </w:r>
          </w:p>
        </w:tc>
        <w:tc>
          <w:tcPr>
            <w:tcW w:w="6272" w:type="dxa"/>
          </w:tcPr>
          <w:p w14:paraId="1626F2B8" w14:textId="4F8E9EED" w:rsidR="0015761A" w:rsidRDefault="0015761A">
            <w:pPr>
              <w:pStyle w:val="Default"/>
              <w:rPr>
                <w:sz w:val="20"/>
                <w:szCs w:val="20"/>
              </w:rPr>
            </w:pPr>
            <w:r>
              <w:rPr>
                <w:sz w:val="20"/>
                <w:szCs w:val="20"/>
              </w:rPr>
              <w:t xml:space="preserve">Die Meldungen müssen über die </w:t>
            </w:r>
            <w:r w:rsidR="00B71B95">
              <w:rPr>
                <w:sz w:val="20"/>
                <w:szCs w:val="20"/>
              </w:rPr>
              <w:t xml:space="preserve">BSG Köln-App </w:t>
            </w:r>
            <w:r>
              <w:rPr>
                <w:sz w:val="20"/>
                <w:szCs w:val="20"/>
              </w:rPr>
              <w:t>erfolgen. Im Ausnahmefall ist alternativ</w:t>
            </w:r>
            <w:r w:rsidR="005608AA">
              <w:rPr>
                <w:sz w:val="20"/>
                <w:szCs w:val="20"/>
              </w:rPr>
              <w:t xml:space="preserve"> mit Begründung</w:t>
            </w:r>
            <w:r>
              <w:rPr>
                <w:sz w:val="20"/>
                <w:szCs w:val="20"/>
              </w:rPr>
              <w:t xml:space="preserve"> auch ein</w:t>
            </w:r>
            <w:r w:rsidR="000D5073">
              <w:rPr>
                <w:sz w:val="20"/>
                <w:szCs w:val="20"/>
              </w:rPr>
              <w:t>e Anmeldung telefonisch</w:t>
            </w:r>
            <w:r>
              <w:rPr>
                <w:sz w:val="20"/>
                <w:szCs w:val="20"/>
              </w:rPr>
              <w:t xml:space="preserve"> oder </w:t>
            </w:r>
            <w:r w:rsidR="00CA1EB3">
              <w:rPr>
                <w:sz w:val="20"/>
                <w:szCs w:val="20"/>
              </w:rPr>
              <w:t xml:space="preserve">per </w:t>
            </w:r>
            <w:proofErr w:type="spellStart"/>
            <w:r>
              <w:rPr>
                <w:sz w:val="20"/>
                <w:szCs w:val="20"/>
              </w:rPr>
              <w:t>e-</w:t>
            </w:r>
            <w:r w:rsidR="00DA230F">
              <w:rPr>
                <w:sz w:val="20"/>
                <w:szCs w:val="20"/>
              </w:rPr>
              <w:t>Mail</w:t>
            </w:r>
            <w:proofErr w:type="spellEnd"/>
            <w:r>
              <w:rPr>
                <w:sz w:val="20"/>
                <w:szCs w:val="20"/>
              </w:rPr>
              <w:t xml:space="preserve"> möglich.</w:t>
            </w:r>
          </w:p>
          <w:p w14:paraId="6F3A423A" w14:textId="77777777" w:rsidR="002D6E8A" w:rsidRDefault="002D6E8A">
            <w:pPr>
              <w:pStyle w:val="Default"/>
              <w:rPr>
                <w:sz w:val="20"/>
                <w:szCs w:val="20"/>
              </w:rPr>
            </w:pPr>
          </w:p>
        </w:tc>
      </w:tr>
      <w:tr w:rsidR="0015761A" w14:paraId="5637AFC3" w14:textId="77777777" w:rsidTr="0015761A">
        <w:trPr>
          <w:trHeight w:val="209"/>
        </w:trPr>
        <w:tc>
          <w:tcPr>
            <w:tcW w:w="3510" w:type="dxa"/>
          </w:tcPr>
          <w:p w14:paraId="3B1BE333" w14:textId="77777777" w:rsidR="0015761A" w:rsidRDefault="0015761A">
            <w:pPr>
              <w:pStyle w:val="Default"/>
              <w:rPr>
                <w:sz w:val="20"/>
                <w:szCs w:val="20"/>
              </w:rPr>
            </w:pPr>
            <w:r>
              <w:rPr>
                <w:b/>
                <w:bCs/>
                <w:sz w:val="20"/>
                <w:szCs w:val="20"/>
              </w:rPr>
              <w:t xml:space="preserve">Spielleitung: </w:t>
            </w:r>
          </w:p>
        </w:tc>
        <w:tc>
          <w:tcPr>
            <w:tcW w:w="6272" w:type="dxa"/>
          </w:tcPr>
          <w:p w14:paraId="37E7FD89" w14:textId="77777777" w:rsidR="0015761A" w:rsidRDefault="0015761A">
            <w:pPr>
              <w:pStyle w:val="Default"/>
              <w:rPr>
                <w:sz w:val="20"/>
                <w:szCs w:val="20"/>
              </w:rPr>
            </w:pPr>
            <w:r>
              <w:rPr>
                <w:sz w:val="20"/>
                <w:szCs w:val="20"/>
              </w:rPr>
              <w:t xml:space="preserve">Spartenleitung Golf der BSG Stadt Köln. Bis zum 1. Start hat die Spielleitung in begründeten Fällen das Recht, die Ausschreibung zu ändern. </w:t>
            </w:r>
          </w:p>
          <w:p w14:paraId="59F63AB9" w14:textId="77777777" w:rsidR="004D003C" w:rsidRDefault="004D003C">
            <w:pPr>
              <w:pStyle w:val="Default"/>
              <w:rPr>
                <w:sz w:val="20"/>
                <w:szCs w:val="20"/>
              </w:rPr>
            </w:pPr>
          </w:p>
        </w:tc>
      </w:tr>
      <w:tr w:rsidR="004D003C" w14:paraId="6EB9A1D4" w14:textId="77777777" w:rsidTr="00D5584B">
        <w:trPr>
          <w:trHeight w:val="209"/>
        </w:trPr>
        <w:tc>
          <w:tcPr>
            <w:tcW w:w="3510" w:type="dxa"/>
          </w:tcPr>
          <w:p w14:paraId="315E9C8A" w14:textId="77777777" w:rsidR="004D003C" w:rsidRPr="002A2371" w:rsidRDefault="00CA1EB3" w:rsidP="00D5584B">
            <w:pPr>
              <w:pStyle w:val="Default"/>
              <w:rPr>
                <w:color w:val="auto"/>
                <w:sz w:val="20"/>
                <w:szCs w:val="20"/>
              </w:rPr>
            </w:pPr>
            <w:r w:rsidRPr="002A2371">
              <w:rPr>
                <w:b/>
                <w:bCs/>
                <w:color w:val="auto"/>
                <w:sz w:val="20"/>
                <w:szCs w:val="20"/>
              </w:rPr>
              <w:t>Datenschutz</w:t>
            </w:r>
            <w:r w:rsidR="004D003C" w:rsidRPr="002A2371">
              <w:rPr>
                <w:b/>
                <w:bCs/>
                <w:color w:val="auto"/>
                <w:sz w:val="20"/>
                <w:szCs w:val="20"/>
              </w:rPr>
              <w:t xml:space="preserve">: </w:t>
            </w:r>
          </w:p>
        </w:tc>
        <w:tc>
          <w:tcPr>
            <w:tcW w:w="6272" w:type="dxa"/>
          </w:tcPr>
          <w:p w14:paraId="15A825AA" w14:textId="4C1CAC46" w:rsidR="004D003C" w:rsidRPr="002A2371" w:rsidRDefault="004D003C" w:rsidP="00AA6925">
            <w:pPr>
              <w:pStyle w:val="Default"/>
              <w:rPr>
                <w:color w:val="auto"/>
                <w:sz w:val="20"/>
                <w:szCs w:val="20"/>
              </w:rPr>
            </w:pPr>
            <w:r w:rsidRPr="002A2371">
              <w:rPr>
                <w:color w:val="auto"/>
                <w:sz w:val="20"/>
                <w:szCs w:val="20"/>
              </w:rPr>
              <w:t xml:space="preserve">Mit der Meldung zum Wettspiel willigen die Spieler/-innen der BSG Stadt Köln </w:t>
            </w:r>
            <w:r w:rsidR="00CA1EB3" w:rsidRPr="002A2371">
              <w:rPr>
                <w:color w:val="auto"/>
                <w:sz w:val="20"/>
                <w:szCs w:val="20"/>
              </w:rPr>
              <w:t xml:space="preserve">grundsätzlich </w:t>
            </w:r>
            <w:r w:rsidRPr="002A2371">
              <w:rPr>
                <w:color w:val="auto"/>
                <w:sz w:val="20"/>
                <w:szCs w:val="20"/>
              </w:rPr>
              <w:t xml:space="preserve">in die </w:t>
            </w:r>
            <w:r w:rsidR="00CA1EB3" w:rsidRPr="002A2371">
              <w:rPr>
                <w:color w:val="auto"/>
                <w:sz w:val="20"/>
                <w:szCs w:val="20"/>
              </w:rPr>
              <w:t xml:space="preserve">Weitergabe ihrer Daten zum Zwecke der Durchführung eines </w:t>
            </w:r>
            <w:r w:rsidR="00B8561E" w:rsidRPr="002A2371">
              <w:rPr>
                <w:color w:val="auto"/>
                <w:sz w:val="20"/>
                <w:szCs w:val="20"/>
              </w:rPr>
              <w:t>Golft</w:t>
            </w:r>
            <w:r w:rsidR="00CA1EB3" w:rsidRPr="002A2371">
              <w:rPr>
                <w:color w:val="auto"/>
                <w:sz w:val="20"/>
                <w:szCs w:val="20"/>
              </w:rPr>
              <w:t xml:space="preserve">urniers ein. </w:t>
            </w:r>
            <w:r w:rsidR="00B8561E" w:rsidRPr="002A2371">
              <w:rPr>
                <w:color w:val="auto"/>
                <w:sz w:val="20"/>
                <w:szCs w:val="20"/>
              </w:rPr>
              <w:t>D</w:t>
            </w:r>
            <w:r w:rsidR="00CA1EB3" w:rsidRPr="002A2371">
              <w:rPr>
                <w:color w:val="auto"/>
                <w:sz w:val="20"/>
                <w:szCs w:val="20"/>
              </w:rPr>
              <w:t xml:space="preserve">ie Spieler/innen </w:t>
            </w:r>
            <w:r w:rsidR="00B8561E" w:rsidRPr="002A2371">
              <w:rPr>
                <w:color w:val="auto"/>
                <w:sz w:val="20"/>
                <w:szCs w:val="20"/>
              </w:rPr>
              <w:t xml:space="preserve">stimmen hierzu </w:t>
            </w:r>
            <w:r w:rsidR="00CA1EB3" w:rsidRPr="002A2371">
              <w:rPr>
                <w:color w:val="auto"/>
                <w:sz w:val="20"/>
                <w:szCs w:val="20"/>
              </w:rPr>
              <w:t xml:space="preserve">der </w:t>
            </w:r>
            <w:r w:rsidR="00B8561E" w:rsidRPr="002A2371">
              <w:rPr>
                <w:color w:val="auto"/>
                <w:sz w:val="20"/>
                <w:szCs w:val="20"/>
              </w:rPr>
              <w:t xml:space="preserve">Weitergabe und </w:t>
            </w:r>
            <w:r w:rsidRPr="002A2371">
              <w:rPr>
                <w:color w:val="auto"/>
                <w:sz w:val="20"/>
                <w:szCs w:val="20"/>
              </w:rPr>
              <w:t xml:space="preserve">Veröffentlichung Ihres Namens, Ihrer Vorgabe, Ihres Wettspielergebnisses in einer Start- und Ergebnisliste im Clubhaus sowie </w:t>
            </w:r>
            <w:r w:rsidR="00B8561E" w:rsidRPr="002A2371">
              <w:rPr>
                <w:color w:val="auto"/>
                <w:sz w:val="20"/>
                <w:szCs w:val="20"/>
              </w:rPr>
              <w:t xml:space="preserve">im </w:t>
            </w:r>
            <w:r w:rsidRPr="002A2371">
              <w:rPr>
                <w:color w:val="auto"/>
                <w:sz w:val="20"/>
                <w:szCs w:val="20"/>
              </w:rPr>
              <w:t>Internet ein.</w:t>
            </w:r>
            <w:r w:rsidR="00B8561E" w:rsidRPr="002A2371">
              <w:rPr>
                <w:color w:val="auto"/>
                <w:sz w:val="20"/>
                <w:szCs w:val="20"/>
              </w:rPr>
              <w:t xml:space="preserve"> Ohne die Weitergabe der Daten ist die Teilnahme am Turnier</w:t>
            </w:r>
            <w:r w:rsidR="008E1E12" w:rsidRPr="002A2371">
              <w:rPr>
                <w:color w:val="auto"/>
                <w:sz w:val="20"/>
                <w:szCs w:val="20"/>
              </w:rPr>
              <w:t>geschehen</w:t>
            </w:r>
            <w:r w:rsidR="00B8561E" w:rsidRPr="002A2371">
              <w:rPr>
                <w:color w:val="auto"/>
                <w:sz w:val="20"/>
                <w:szCs w:val="20"/>
              </w:rPr>
              <w:t xml:space="preserve"> nicht möglich. Darüber hinaus stimmen sie der Veröffentlichung von Foto- und Bildmaterial auf der sparteneigenen Homepage</w:t>
            </w:r>
            <w:r w:rsidR="005608AA">
              <w:rPr>
                <w:color w:val="auto"/>
                <w:sz w:val="20"/>
                <w:szCs w:val="20"/>
              </w:rPr>
              <w:t xml:space="preserve"> oder in dem Sparteneigenen Golf Modul der </w:t>
            </w:r>
            <w:r w:rsidR="00B71B95">
              <w:rPr>
                <w:sz w:val="20"/>
                <w:szCs w:val="20"/>
              </w:rPr>
              <w:t xml:space="preserve">BSG Köln-App </w:t>
            </w:r>
            <w:r w:rsidR="00B8561E" w:rsidRPr="002A2371">
              <w:rPr>
                <w:color w:val="auto"/>
                <w:sz w:val="20"/>
                <w:szCs w:val="20"/>
              </w:rPr>
              <w:t xml:space="preserve">zu. Sollte </w:t>
            </w:r>
            <w:r w:rsidR="000D5267" w:rsidRPr="002A2371">
              <w:rPr>
                <w:color w:val="auto"/>
                <w:sz w:val="20"/>
                <w:szCs w:val="20"/>
              </w:rPr>
              <w:t>eine</w:t>
            </w:r>
            <w:r w:rsidR="00B8561E" w:rsidRPr="002A2371">
              <w:rPr>
                <w:color w:val="auto"/>
                <w:sz w:val="20"/>
                <w:szCs w:val="20"/>
              </w:rPr>
              <w:t xml:space="preserve"> Veröffentlichung </w:t>
            </w:r>
            <w:r w:rsidR="000D5267" w:rsidRPr="002A2371">
              <w:rPr>
                <w:color w:val="auto"/>
                <w:sz w:val="20"/>
                <w:szCs w:val="20"/>
              </w:rPr>
              <w:t>von</w:t>
            </w:r>
            <w:r w:rsidR="00B8561E" w:rsidRPr="002A2371">
              <w:rPr>
                <w:color w:val="auto"/>
                <w:sz w:val="20"/>
                <w:szCs w:val="20"/>
              </w:rPr>
              <w:t xml:space="preserve"> Bildmaterial nicht gewünscht sein</w:t>
            </w:r>
            <w:r w:rsidR="008E1E12" w:rsidRPr="002A2371">
              <w:rPr>
                <w:color w:val="auto"/>
                <w:sz w:val="20"/>
                <w:szCs w:val="20"/>
              </w:rPr>
              <w:t>, muss dieser</w:t>
            </w:r>
            <w:r w:rsidR="00B8561E" w:rsidRPr="002A2371">
              <w:rPr>
                <w:color w:val="auto"/>
                <w:sz w:val="20"/>
                <w:szCs w:val="20"/>
              </w:rPr>
              <w:t xml:space="preserve"> ausdrücklich schriftlich</w:t>
            </w:r>
            <w:r w:rsidR="000D5267" w:rsidRPr="002A2371">
              <w:rPr>
                <w:color w:val="auto"/>
                <w:sz w:val="20"/>
                <w:szCs w:val="20"/>
              </w:rPr>
              <w:t xml:space="preserve"> </w:t>
            </w:r>
            <w:r w:rsidR="00AA6925" w:rsidRPr="002A2371">
              <w:rPr>
                <w:color w:val="auto"/>
                <w:sz w:val="20"/>
                <w:szCs w:val="20"/>
              </w:rPr>
              <w:t>gegenüber</w:t>
            </w:r>
            <w:r w:rsidR="008E1E12" w:rsidRPr="002A2371">
              <w:rPr>
                <w:color w:val="auto"/>
                <w:sz w:val="20"/>
                <w:szCs w:val="20"/>
              </w:rPr>
              <w:t xml:space="preserve"> dem </w:t>
            </w:r>
            <w:r w:rsidR="00AA6925" w:rsidRPr="002A2371">
              <w:rPr>
                <w:color w:val="auto"/>
                <w:sz w:val="20"/>
                <w:szCs w:val="20"/>
              </w:rPr>
              <w:t xml:space="preserve">Spartenvorstand </w:t>
            </w:r>
            <w:r w:rsidR="000D5267" w:rsidRPr="002A2371">
              <w:rPr>
                <w:color w:val="auto"/>
                <w:sz w:val="20"/>
                <w:szCs w:val="20"/>
              </w:rPr>
              <w:t>widersprochen werden</w:t>
            </w:r>
            <w:r w:rsidR="00B8561E" w:rsidRPr="002A2371">
              <w:rPr>
                <w:color w:val="auto"/>
                <w:sz w:val="20"/>
                <w:szCs w:val="20"/>
              </w:rPr>
              <w:t>.</w:t>
            </w:r>
          </w:p>
        </w:tc>
      </w:tr>
    </w:tbl>
    <w:p w14:paraId="62822F42" w14:textId="77777777" w:rsidR="002850A2" w:rsidRDefault="002850A2" w:rsidP="0015761A"/>
    <w:p w14:paraId="375BF0E3" w14:textId="77777777" w:rsidR="002D6E8A" w:rsidRDefault="002D6E8A" w:rsidP="0015761A"/>
    <w:p w14:paraId="5D34FC3F" w14:textId="77777777" w:rsidR="002D6E8A" w:rsidRPr="0015761A" w:rsidRDefault="002D6E8A" w:rsidP="0015761A">
      <w:r>
        <w:t>Der Vorstand wünscht ein „Schönes Spiel“</w:t>
      </w:r>
    </w:p>
    <w:sectPr w:rsidR="002D6E8A" w:rsidRPr="0015761A" w:rsidSect="00F12C8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29E59" w14:textId="77777777" w:rsidR="00AF6870" w:rsidRDefault="00AF6870" w:rsidP="0015761A">
      <w:r>
        <w:separator/>
      </w:r>
    </w:p>
  </w:endnote>
  <w:endnote w:type="continuationSeparator" w:id="0">
    <w:p w14:paraId="64588E91" w14:textId="77777777" w:rsidR="00AF6870" w:rsidRDefault="00AF6870" w:rsidP="0015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B9E74" w14:textId="77777777" w:rsidR="00AF6870" w:rsidRDefault="00AF6870" w:rsidP="0015761A">
      <w:r>
        <w:separator/>
      </w:r>
    </w:p>
  </w:footnote>
  <w:footnote w:type="continuationSeparator" w:id="0">
    <w:p w14:paraId="19A3A862" w14:textId="77777777" w:rsidR="00AF6870" w:rsidRDefault="00AF6870" w:rsidP="00157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61A"/>
    <w:rsid w:val="0000052C"/>
    <w:rsid w:val="00077AEE"/>
    <w:rsid w:val="000D5073"/>
    <w:rsid w:val="000D5267"/>
    <w:rsid w:val="000F5258"/>
    <w:rsid w:val="0015761A"/>
    <w:rsid w:val="00222918"/>
    <w:rsid w:val="002850A2"/>
    <w:rsid w:val="002A2371"/>
    <w:rsid w:val="002B34FF"/>
    <w:rsid w:val="002D6E8A"/>
    <w:rsid w:val="003109E5"/>
    <w:rsid w:val="00321CCB"/>
    <w:rsid w:val="003B6E5F"/>
    <w:rsid w:val="004645DC"/>
    <w:rsid w:val="004D003C"/>
    <w:rsid w:val="005608AA"/>
    <w:rsid w:val="005F52F6"/>
    <w:rsid w:val="00617C42"/>
    <w:rsid w:val="006553CD"/>
    <w:rsid w:val="0067715D"/>
    <w:rsid w:val="0068717C"/>
    <w:rsid w:val="006C039D"/>
    <w:rsid w:val="007B0F65"/>
    <w:rsid w:val="007B5DAD"/>
    <w:rsid w:val="00816F19"/>
    <w:rsid w:val="00837DC3"/>
    <w:rsid w:val="00867DCA"/>
    <w:rsid w:val="008D0CFA"/>
    <w:rsid w:val="008E1E12"/>
    <w:rsid w:val="008F067A"/>
    <w:rsid w:val="00913ACF"/>
    <w:rsid w:val="009672BC"/>
    <w:rsid w:val="009A0BCC"/>
    <w:rsid w:val="00AA6925"/>
    <w:rsid w:val="00AF5934"/>
    <w:rsid w:val="00AF6870"/>
    <w:rsid w:val="00B178EE"/>
    <w:rsid w:val="00B71B95"/>
    <w:rsid w:val="00B82CBC"/>
    <w:rsid w:val="00B8561E"/>
    <w:rsid w:val="00CA1EB3"/>
    <w:rsid w:val="00DA230F"/>
    <w:rsid w:val="00DF7223"/>
    <w:rsid w:val="00E25475"/>
    <w:rsid w:val="00E529A6"/>
    <w:rsid w:val="00EE6627"/>
    <w:rsid w:val="00EF1F4A"/>
    <w:rsid w:val="00F01275"/>
    <w:rsid w:val="00F12C84"/>
    <w:rsid w:val="00F44001"/>
    <w:rsid w:val="00F44AE0"/>
    <w:rsid w:val="00FA1F83"/>
    <w:rsid w:val="00FB4978"/>
    <w:rsid w:val="00FC3EE5"/>
    <w:rsid w:val="00FF41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F1A13"/>
  <w15:docId w15:val="{6D62C4ED-494D-41DC-9BE7-7E1F6139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5DAD"/>
    <w:pPr>
      <w:spacing w:after="0" w:line="240" w:lineRule="auto"/>
    </w:pPr>
    <w:rPr>
      <w:rFonts w:ascii="Arial" w:hAnsi="Arial" w:cs="Times New Roman"/>
    </w:rPr>
  </w:style>
  <w:style w:type="paragraph" w:styleId="berschrift1">
    <w:name w:val="heading 1"/>
    <w:basedOn w:val="Standard"/>
    <w:next w:val="Standard"/>
    <w:link w:val="berschrift1Zchn"/>
    <w:uiPriority w:val="9"/>
    <w:qFormat/>
    <w:rsid w:val="0068717C"/>
    <w:pPr>
      <w:keepNext/>
      <w:spacing w:before="240" w:after="60"/>
      <w:outlineLvl w:val="0"/>
    </w:pPr>
    <w:rPr>
      <w:rFonts w:eastAsiaTheme="majorEastAsia" w:cstheme="majorBidi"/>
      <w:b/>
      <w:bCs/>
      <w:kern w:val="32"/>
      <w:sz w:val="32"/>
      <w:szCs w:val="32"/>
    </w:rPr>
  </w:style>
  <w:style w:type="paragraph" w:styleId="berschrift2">
    <w:name w:val="heading 2"/>
    <w:basedOn w:val="Standard"/>
    <w:next w:val="Standard"/>
    <w:link w:val="berschrift2Zchn"/>
    <w:uiPriority w:val="9"/>
    <w:unhideWhenUsed/>
    <w:qFormat/>
    <w:rsid w:val="0068717C"/>
    <w:pPr>
      <w:keepNext/>
      <w:spacing w:before="240" w:after="60"/>
      <w:outlineLvl w:val="1"/>
    </w:pPr>
    <w:rPr>
      <w:rFonts w:eastAsiaTheme="majorEastAsia" w:cstheme="majorBidi"/>
      <w:b/>
      <w:bCs/>
      <w:i/>
      <w:iCs/>
      <w:sz w:val="28"/>
      <w:szCs w:val="28"/>
    </w:rPr>
  </w:style>
  <w:style w:type="paragraph" w:styleId="berschrift3">
    <w:name w:val="heading 3"/>
    <w:basedOn w:val="Standard"/>
    <w:next w:val="Standard"/>
    <w:link w:val="berschrift3Zchn"/>
    <w:uiPriority w:val="9"/>
    <w:semiHidden/>
    <w:unhideWhenUsed/>
    <w:qFormat/>
    <w:rsid w:val="0068717C"/>
    <w:pPr>
      <w:keepNext/>
      <w:spacing w:before="240" w:after="60"/>
      <w:outlineLvl w:val="2"/>
    </w:pPr>
    <w:rPr>
      <w:rFonts w:eastAsiaTheme="majorEastAsia" w:cstheme="majorBidi"/>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autoRedefine/>
    <w:uiPriority w:val="1"/>
    <w:qFormat/>
    <w:rsid w:val="0068717C"/>
    <w:pPr>
      <w:spacing w:after="0" w:line="240" w:lineRule="auto"/>
    </w:pPr>
    <w:rPr>
      <w:rFonts w:ascii="Arial" w:hAnsi="Arial" w:cs="Times New Roman"/>
    </w:rPr>
  </w:style>
  <w:style w:type="character" w:customStyle="1" w:styleId="berschrift1Zchn">
    <w:name w:val="Überschrift 1 Zchn"/>
    <w:basedOn w:val="Absatz-Standardschriftart"/>
    <w:link w:val="berschrift1"/>
    <w:uiPriority w:val="9"/>
    <w:rsid w:val="0068717C"/>
    <w:rPr>
      <w:rFonts w:ascii="Arial" w:eastAsiaTheme="majorEastAsia" w:hAnsi="Arial" w:cstheme="majorBidi"/>
      <w:b/>
      <w:bCs/>
      <w:kern w:val="32"/>
      <w:sz w:val="32"/>
      <w:szCs w:val="32"/>
    </w:rPr>
  </w:style>
  <w:style w:type="character" w:customStyle="1" w:styleId="berschrift2Zchn">
    <w:name w:val="Überschrift 2 Zchn"/>
    <w:basedOn w:val="Absatz-Standardschriftart"/>
    <w:link w:val="berschrift2"/>
    <w:uiPriority w:val="9"/>
    <w:rsid w:val="0068717C"/>
    <w:rPr>
      <w:rFonts w:ascii="Arial" w:eastAsiaTheme="majorEastAsia" w:hAnsi="Arial" w:cstheme="majorBidi"/>
      <w:b/>
      <w:bCs/>
      <w:i/>
      <w:iCs/>
      <w:sz w:val="28"/>
      <w:szCs w:val="28"/>
    </w:rPr>
  </w:style>
  <w:style w:type="character" w:customStyle="1" w:styleId="berschrift3Zchn">
    <w:name w:val="Überschrift 3 Zchn"/>
    <w:basedOn w:val="Absatz-Standardschriftart"/>
    <w:link w:val="berschrift3"/>
    <w:uiPriority w:val="9"/>
    <w:semiHidden/>
    <w:rsid w:val="0068717C"/>
    <w:rPr>
      <w:rFonts w:ascii="Arial" w:eastAsiaTheme="majorEastAsia" w:hAnsi="Arial" w:cstheme="majorBidi"/>
      <w:b/>
      <w:bCs/>
      <w:sz w:val="26"/>
      <w:szCs w:val="26"/>
    </w:rPr>
  </w:style>
  <w:style w:type="paragraph" w:styleId="Titel">
    <w:name w:val="Title"/>
    <w:basedOn w:val="Standard"/>
    <w:next w:val="Standard"/>
    <w:link w:val="TitelZchn"/>
    <w:uiPriority w:val="10"/>
    <w:qFormat/>
    <w:rsid w:val="0068717C"/>
    <w:pPr>
      <w:spacing w:before="240" w:after="60"/>
      <w:jc w:val="center"/>
      <w:outlineLvl w:val="0"/>
    </w:pPr>
    <w:rPr>
      <w:rFonts w:eastAsiaTheme="majorEastAsia" w:cstheme="majorBidi"/>
      <w:b/>
      <w:bCs/>
      <w:kern w:val="28"/>
      <w:sz w:val="32"/>
      <w:szCs w:val="32"/>
    </w:rPr>
  </w:style>
  <w:style w:type="character" w:customStyle="1" w:styleId="TitelZchn">
    <w:name w:val="Titel Zchn"/>
    <w:basedOn w:val="Absatz-Standardschriftart"/>
    <w:link w:val="Titel"/>
    <w:uiPriority w:val="10"/>
    <w:rsid w:val="0068717C"/>
    <w:rPr>
      <w:rFonts w:ascii="Arial" w:eastAsiaTheme="majorEastAsia" w:hAnsi="Arial" w:cstheme="majorBidi"/>
      <w:b/>
      <w:bCs/>
      <w:kern w:val="28"/>
      <w:sz w:val="32"/>
      <w:szCs w:val="32"/>
    </w:rPr>
  </w:style>
  <w:style w:type="paragraph" w:styleId="Untertitel">
    <w:name w:val="Subtitle"/>
    <w:basedOn w:val="Standard"/>
    <w:next w:val="Standard"/>
    <w:link w:val="UntertitelZchn"/>
    <w:uiPriority w:val="11"/>
    <w:qFormat/>
    <w:rsid w:val="0068717C"/>
    <w:pPr>
      <w:spacing w:after="60"/>
      <w:jc w:val="center"/>
      <w:outlineLvl w:val="1"/>
    </w:pPr>
    <w:rPr>
      <w:rFonts w:eastAsiaTheme="majorEastAsia" w:cstheme="majorBidi"/>
      <w:sz w:val="24"/>
      <w:szCs w:val="24"/>
    </w:rPr>
  </w:style>
  <w:style w:type="character" w:customStyle="1" w:styleId="UntertitelZchn">
    <w:name w:val="Untertitel Zchn"/>
    <w:basedOn w:val="Absatz-Standardschriftart"/>
    <w:link w:val="Untertitel"/>
    <w:uiPriority w:val="11"/>
    <w:rsid w:val="0068717C"/>
    <w:rPr>
      <w:rFonts w:ascii="Arial" w:eastAsiaTheme="majorEastAsia" w:hAnsi="Arial" w:cstheme="majorBidi"/>
      <w:sz w:val="24"/>
      <w:szCs w:val="24"/>
    </w:rPr>
  </w:style>
  <w:style w:type="paragraph" w:customStyle="1" w:styleId="Default">
    <w:name w:val="Default"/>
    <w:rsid w:val="0015761A"/>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15761A"/>
    <w:pPr>
      <w:tabs>
        <w:tab w:val="center" w:pos="4536"/>
        <w:tab w:val="right" w:pos="9072"/>
      </w:tabs>
    </w:pPr>
  </w:style>
  <w:style w:type="character" w:customStyle="1" w:styleId="KopfzeileZchn">
    <w:name w:val="Kopfzeile Zchn"/>
    <w:basedOn w:val="Absatz-Standardschriftart"/>
    <w:link w:val="Kopfzeile"/>
    <w:uiPriority w:val="99"/>
    <w:rsid w:val="0015761A"/>
    <w:rPr>
      <w:rFonts w:ascii="Arial" w:hAnsi="Arial" w:cs="Times New Roman"/>
    </w:rPr>
  </w:style>
  <w:style w:type="paragraph" w:styleId="Fuzeile">
    <w:name w:val="footer"/>
    <w:basedOn w:val="Standard"/>
    <w:link w:val="FuzeileZchn"/>
    <w:uiPriority w:val="99"/>
    <w:unhideWhenUsed/>
    <w:rsid w:val="0015761A"/>
    <w:pPr>
      <w:tabs>
        <w:tab w:val="center" w:pos="4536"/>
        <w:tab w:val="right" w:pos="9072"/>
      </w:tabs>
    </w:pPr>
  </w:style>
  <w:style w:type="character" w:customStyle="1" w:styleId="FuzeileZchn">
    <w:name w:val="Fußzeile Zchn"/>
    <w:basedOn w:val="Absatz-Standardschriftart"/>
    <w:link w:val="Fuzeile"/>
    <w:uiPriority w:val="99"/>
    <w:rsid w:val="0015761A"/>
    <w:rPr>
      <w:rFonts w:ascii="Arial" w:hAnsi="Arial" w:cs="Times New Roman"/>
    </w:rPr>
  </w:style>
  <w:style w:type="paragraph" w:styleId="Sprechblasentext">
    <w:name w:val="Balloon Text"/>
    <w:basedOn w:val="Standard"/>
    <w:link w:val="SprechblasentextZchn"/>
    <w:uiPriority w:val="99"/>
    <w:semiHidden/>
    <w:unhideWhenUsed/>
    <w:rsid w:val="0015761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76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B0EE8-E0C5-4E78-A6B3-4CF01B389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3258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Stadt Köln</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scherfke</dc:creator>
  <cp:lastModifiedBy>Andre Kunisch</cp:lastModifiedBy>
  <cp:revision>3</cp:revision>
  <cp:lastPrinted>2020-01-03T12:36:00Z</cp:lastPrinted>
  <dcterms:created xsi:type="dcterms:W3CDTF">2025-04-23T14:33:00Z</dcterms:created>
  <dcterms:modified xsi:type="dcterms:W3CDTF">2025-04-24T07:44:00Z</dcterms:modified>
</cp:coreProperties>
</file>